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6C5" w:rsidRPr="0039527E" w:rsidRDefault="00AD4582" w:rsidP="00D2744F">
      <w:pPr>
        <w:pStyle w:val="ListParagraph"/>
        <w:numPr>
          <w:ilvl w:val="0"/>
          <w:numId w:val="1"/>
        </w:numPr>
        <w:spacing w:line="480" w:lineRule="auto"/>
        <w:rPr>
          <w:rFonts w:ascii="Times New Roman" w:hAnsi="Times New Roman" w:cs="Times New Roman"/>
          <w:b/>
          <w:sz w:val="24"/>
          <w:szCs w:val="24"/>
        </w:rPr>
      </w:pPr>
      <w:r w:rsidRPr="0039527E">
        <w:rPr>
          <w:rFonts w:ascii="Times New Roman" w:hAnsi="Times New Roman" w:cs="Times New Roman"/>
          <w:sz w:val="24"/>
          <w:szCs w:val="24"/>
        </w:rPr>
        <w:t xml:space="preserve">The three heuristics mentioned in class are anchoring, representatives, and availability. There are various ways that can be used in order to reduce or avoid errors for each heuristics. </w:t>
      </w:r>
      <w:r w:rsidR="00896EF4" w:rsidRPr="0039527E">
        <w:rPr>
          <w:rFonts w:ascii="Times New Roman" w:hAnsi="Times New Roman" w:cs="Times New Roman"/>
          <w:sz w:val="24"/>
          <w:szCs w:val="24"/>
        </w:rPr>
        <w:t xml:space="preserve">In anchoring heuristic we tend to being influenced by numbers even those that are not valid. There are various ways we can reduce or avoid errors associated with anchoring such as relentlessly searching for relevant potentially or new evidence which is disconfirming and seeking diverse outside opinion in order to counter our numbers overconfidence. The second heuristic is a representative which is described as object similarity assessing. The errors associated with this heuristic can be reduced by reframing the </w:t>
      </w:r>
      <w:r w:rsidRPr="0039527E">
        <w:rPr>
          <w:rFonts w:ascii="Times New Roman" w:hAnsi="Times New Roman" w:cs="Times New Roman"/>
          <w:sz w:val="24"/>
          <w:szCs w:val="24"/>
        </w:rPr>
        <w:t>flip of our prototype to see if we are viewing the already situation in our minds is most relevant or typical. The last heuristic is availability which is a mental shortcut relying on the example that is immediate which comes to the mind of a person w</w:t>
      </w:r>
      <w:r w:rsidRPr="0039527E">
        <w:rPr>
          <w:rFonts w:ascii="Times New Roman" w:hAnsi="Times New Roman" w:cs="Times New Roman"/>
          <w:sz w:val="24"/>
          <w:szCs w:val="24"/>
        </w:rPr>
        <w:t>hen evaluating a topic, decision, or concept. In order to reduce errors we can reward the process and refrain from penalizing errors when both efforts and intentions are sound. The other way to reduce errors is developing a review process that is systemati</w:t>
      </w:r>
      <w:r w:rsidRPr="0039527E">
        <w:rPr>
          <w:rFonts w:ascii="Times New Roman" w:hAnsi="Times New Roman" w:cs="Times New Roman"/>
          <w:sz w:val="24"/>
          <w:szCs w:val="24"/>
        </w:rPr>
        <w:t>c and leaves us committed.</w:t>
      </w:r>
    </w:p>
    <w:p w:rsidR="005C560A" w:rsidRPr="0039527E" w:rsidRDefault="00AD4582" w:rsidP="00D2744F">
      <w:pPr>
        <w:pStyle w:val="ListParagraph"/>
        <w:numPr>
          <w:ilvl w:val="0"/>
          <w:numId w:val="1"/>
        </w:numPr>
        <w:spacing w:line="480" w:lineRule="auto"/>
        <w:rPr>
          <w:rFonts w:ascii="Times New Roman" w:hAnsi="Times New Roman" w:cs="Times New Roman"/>
          <w:b/>
          <w:sz w:val="24"/>
          <w:szCs w:val="24"/>
        </w:rPr>
      </w:pPr>
      <w:r w:rsidRPr="0039527E">
        <w:rPr>
          <w:rFonts w:ascii="Times New Roman" w:hAnsi="Times New Roman" w:cs="Times New Roman"/>
          <w:sz w:val="24"/>
          <w:szCs w:val="24"/>
        </w:rPr>
        <w:t>The Gamble’s Fallacy which is also called the Monte Carlo Fallacy occurs when an individual believes erroneously that an event which is certain random is less likely or more likely, given an event that is previous or events serie</w:t>
      </w:r>
      <w:r w:rsidRPr="0039527E">
        <w:rPr>
          <w:rFonts w:ascii="Times New Roman" w:hAnsi="Times New Roman" w:cs="Times New Roman"/>
          <w:sz w:val="24"/>
          <w:szCs w:val="24"/>
        </w:rPr>
        <w:t xml:space="preserve">s. The hot hand belief </w:t>
      </w:r>
      <w:r w:rsidR="009B1092" w:rsidRPr="0039527E">
        <w:rPr>
          <w:rFonts w:ascii="Times New Roman" w:hAnsi="Times New Roman" w:cs="Times New Roman"/>
          <w:sz w:val="24"/>
          <w:szCs w:val="24"/>
        </w:rPr>
        <w:t>is the fallacy of the belief which is irrational that if you win or lose in a row several games chances, either you are “hot” or “cold”. The data from Roulette games was used in examining the existence and prevalence of the hot hand belief and gamble’s fallacy.</w:t>
      </w:r>
      <w:r w:rsidRPr="0039527E">
        <w:rPr>
          <w:rFonts w:ascii="Times New Roman" w:hAnsi="Times New Roman" w:cs="Times New Roman"/>
          <w:sz w:val="24"/>
          <w:szCs w:val="24"/>
        </w:rPr>
        <w:t xml:space="preserve"> The results of the data support the hot hand belief where the independent variables included an intercept which was a hotness measure, a control for the players' numbers and control </w:t>
      </w:r>
      <w:r w:rsidRPr="0039527E">
        <w:rPr>
          <w:rFonts w:ascii="Times New Roman" w:hAnsi="Times New Roman" w:cs="Times New Roman"/>
          <w:sz w:val="24"/>
          <w:szCs w:val="24"/>
        </w:rPr>
        <w:lastRenderedPageBreak/>
        <w:t xml:space="preserve">“favorite” for leaving bet on the table. The </w:t>
      </w:r>
      <w:r w:rsidRPr="0039527E">
        <w:rPr>
          <w:rFonts w:ascii="Times New Roman" w:hAnsi="Times New Roman" w:cs="Times New Roman"/>
          <w:sz w:val="24"/>
          <w:szCs w:val="24"/>
        </w:rPr>
        <w:t xml:space="preserve">measure of hotness thus calculated the number appearing frequency minus frequency expected. The hotness measure was positive if a number has appeared more than expected and negative otherwise. </w:t>
      </w:r>
    </w:p>
    <w:p w:rsidR="007E5AFE" w:rsidRPr="0039527E" w:rsidRDefault="00AD4582" w:rsidP="00D2744F">
      <w:pPr>
        <w:pStyle w:val="ListParagraph"/>
        <w:numPr>
          <w:ilvl w:val="0"/>
          <w:numId w:val="1"/>
        </w:numPr>
        <w:spacing w:line="480" w:lineRule="auto"/>
        <w:rPr>
          <w:rFonts w:ascii="Times New Roman" w:hAnsi="Times New Roman" w:cs="Times New Roman"/>
          <w:b/>
          <w:sz w:val="24"/>
          <w:szCs w:val="24"/>
        </w:rPr>
      </w:pPr>
      <w:r w:rsidRPr="0039527E">
        <w:rPr>
          <w:rFonts w:ascii="Times New Roman" w:hAnsi="Times New Roman" w:cs="Times New Roman"/>
          <w:sz w:val="24"/>
          <w:szCs w:val="24"/>
        </w:rPr>
        <w:t>In the “Sacred Values”</w:t>
      </w:r>
      <w:r w:rsidR="00400E77" w:rsidRPr="0039527E">
        <w:rPr>
          <w:rFonts w:ascii="Times New Roman" w:hAnsi="Times New Roman" w:cs="Times New Roman"/>
          <w:sz w:val="24"/>
          <w:szCs w:val="24"/>
        </w:rPr>
        <w:t xml:space="preserve">? </w:t>
      </w:r>
      <w:r w:rsidRPr="0039527E">
        <w:rPr>
          <w:rFonts w:ascii="Times New Roman" w:hAnsi="Times New Roman" w:cs="Times New Roman"/>
          <w:sz w:val="24"/>
          <w:szCs w:val="24"/>
        </w:rPr>
        <w:t>The Effect of Information on Attitudes</w:t>
      </w:r>
      <w:r w:rsidRPr="0039527E">
        <w:rPr>
          <w:rFonts w:ascii="Times New Roman" w:hAnsi="Times New Roman" w:cs="Times New Roman"/>
          <w:sz w:val="24"/>
          <w:szCs w:val="24"/>
        </w:rPr>
        <w:t xml:space="preserve"> </w:t>
      </w:r>
      <w:r w:rsidR="00400E77" w:rsidRPr="0039527E">
        <w:rPr>
          <w:rFonts w:ascii="Times New Roman" w:hAnsi="Times New Roman" w:cs="Times New Roman"/>
          <w:sz w:val="24"/>
          <w:szCs w:val="24"/>
        </w:rPr>
        <w:t>towards</w:t>
      </w:r>
      <w:r w:rsidRPr="0039527E">
        <w:rPr>
          <w:rFonts w:ascii="Times New Roman" w:hAnsi="Times New Roman" w:cs="Times New Roman"/>
          <w:sz w:val="24"/>
          <w:szCs w:val="24"/>
        </w:rPr>
        <w:t xml:space="preserve"> Payments for Human </w:t>
      </w:r>
      <w:r w:rsidR="00400E77" w:rsidRPr="0039527E">
        <w:rPr>
          <w:rFonts w:ascii="Times New Roman" w:hAnsi="Times New Roman" w:cs="Times New Roman"/>
          <w:sz w:val="24"/>
          <w:szCs w:val="24"/>
        </w:rPr>
        <w:t xml:space="preserve">Organs” by Elias, Laceter, and Macis, the research question is "Are attitudes about morally controversial (and often prohibited) market transactions affected by information about their costs and benefits?" The finding of this paper is that market-based solutions to the shortage of organ increased in documented and verifiable potential benefits information response. The indoor prostitution and slavery findings were different with overall information response that was limited but wider heterogeneity and the study inferred the individuals into considering information which is specific when expressing morally charged activity support. </w:t>
      </w:r>
      <w:r w:rsidRPr="0039527E">
        <w:rPr>
          <w:rFonts w:ascii="Times New Roman" w:hAnsi="Times New Roman" w:cs="Times New Roman"/>
          <w:sz w:val="24"/>
          <w:szCs w:val="24"/>
        </w:rPr>
        <w:t xml:space="preserve"> </w:t>
      </w:r>
      <w:r w:rsidR="009B1092" w:rsidRPr="0039527E">
        <w:rPr>
          <w:rFonts w:ascii="Times New Roman" w:hAnsi="Times New Roman" w:cs="Times New Roman"/>
          <w:sz w:val="24"/>
          <w:szCs w:val="24"/>
        </w:rPr>
        <w:t xml:space="preserve"> </w:t>
      </w:r>
      <w:r w:rsidR="00A256C5" w:rsidRPr="0039527E">
        <w:rPr>
          <w:rFonts w:ascii="Times New Roman" w:hAnsi="Times New Roman" w:cs="Times New Roman"/>
          <w:sz w:val="24"/>
          <w:szCs w:val="24"/>
        </w:rPr>
        <w:t xml:space="preserve"> </w:t>
      </w:r>
      <w:r w:rsidR="00EA2B91" w:rsidRPr="0039527E">
        <w:rPr>
          <w:rFonts w:ascii="Times New Roman" w:hAnsi="Times New Roman" w:cs="Times New Roman"/>
          <w:sz w:val="24"/>
          <w:szCs w:val="24"/>
        </w:rPr>
        <w:t xml:space="preserve"> </w:t>
      </w:r>
    </w:p>
    <w:p w:rsidR="003E7AB0" w:rsidRPr="0039527E" w:rsidRDefault="00AD4582" w:rsidP="00D2744F">
      <w:pPr>
        <w:pStyle w:val="ListParagraph"/>
        <w:numPr>
          <w:ilvl w:val="0"/>
          <w:numId w:val="1"/>
        </w:numPr>
        <w:spacing w:line="480" w:lineRule="auto"/>
        <w:rPr>
          <w:rFonts w:ascii="Times New Roman" w:hAnsi="Times New Roman" w:cs="Times New Roman"/>
          <w:b/>
          <w:sz w:val="24"/>
          <w:szCs w:val="24"/>
        </w:rPr>
      </w:pPr>
      <w:r w:rsidRPr="0039527E">
        <w:rPr>
          <w:rFonts w:ascii="Times New Roman" w:hAnsi="Times New Roman" w:cs="Times New Roman"/>
          <w:sz w:val="24"/>
          <w:szCs w:val="24"/>
        </w:rPr>
        <w:t>The traditional economic theory measuring preferences ways include agriculture, hunting, fishing</w:t>
      </w:r>
      <w:r w:rsidRPr="0039527E">
        <w:rPr>
          <w:rFonts w:ascii="Times New Roman" w:hAnsi="Times New Roman" w:cs="Times New Roman"/>
          <w:sz w:val="24"/>
          <w:szCs w:val="24"/>
        </w:rPr>
        <w:t xml:space="preserve">, gathering forming traditional economy, barter trade used in the place of money, and traditional economy living in families (tribes). The neuroeconomics measuring preferences ways include </w:t>
      </w:r>
      <w:r w:rsidR="00884C70" w:rsidRPr="0039527E">
        <w:rPr>
          <w:rFonts w:ascii="Times New Roman" w:hAnsi="Times New Roman" w:cs="Times New Roman"/>
          <w:sz w:val="24"/>
          <w:szCs w:val="24"/>
        </w:rPr>
        <w:t>several areas of research, developing cognitive neuroscience and decision making, risks, uncertainties, and rewards models. The policy implications of experimental findings regarding dynamic decisions are that the research has facilitated the transformation of policy from simple choices to more generalizable applications of policy.</w:t>
      </w:r>
    </w:p>
    <w:p w:rsidR="00884C70" w:rsidRPr="0039527E" w:rsidRDefault="00AD4582" w:rsidP="00D2744F">
      <w:pPr>
        <w:pStyle w:val="ListParagraph"/>
        <w:numPr>
          <w:ilvl w:val="0"/>
          <w:numId w:val="1"/>
        </w:numPr>
        <w:spacing w:line="480" w:lineRule="auto"/>
        <w:rPr>
          <w:rFonts w:ascii="Times New Roman" w:hAnsi="Times New Roman" w:cs="Times New Roman"/>
          <w:b/>
          <w:sz w:val="24"/>
          <w:szCs w:val="24"/>
        </w:rPr>
      </w:pPr>
      <w:r w:rsidRPr="0039527E">
        <w:rPr>
          <w:rFonts w:ascii="Times New Roman" w:hAnsi="Times New Roman" w:cs="Times New Roman"/>
          <w:sz w:val="24"/>
          <w:szCs w:val="24"/>
        </w:rPr>
        <w:t>The application of behavioral economics to environmental policy</w:t>
      </w:r>
      <w:r w:rsidR="00393331" w:rsidRPr="0039527E">
        <w:rPr>
          <w:rFonts w:ascii="Times New Roman" w:hAnsi="Times New Roman" w:cs="Times New Roman"/>
          <w:sz w:val="24"/>
          <w:szCs w:val="24"/>
        </w:rPr>
        <w:t xml:space="preserve"> is, for instance, reducing global warming. Consumer behaviors are used by organizations in designing environm</w:t>
      </w:r>
      <w:r w:rsidR="00D2744F" w:rsidRPr="0039527E">
        <w:rPr>
          <w:rFonts w:ascii="Times New Roman" w:hAnsi="Times New Roman" w:cs="Times New Roman"/>
          <w:sz w:val="24"/>
          <w:szCs w:val="24"/>
        </w:rPr>
        <w:t>en</w:t>
      </w:r>
      <w:r w:rsidR="00393331" w:rsidRPr="0039527E">
        <w:rPr>
          <w:rFonts w:ascii="Times New Roman" w:hAnsi="Times New Roman" w:cs="Times New Roman"/>
          <w:sz w:val="24"/>
          <w:szCs w:val="24"/>
        </w:rPr>
        <w:t>tal policies that aim at reducing global warming</w:t>
      </w:r>
      <w:r w:rsidR="00D2744F" w:rsidRPr="0039527E">
        <w:rPr>
          <w:rFonts w:ascii="Times New Roman" w:hAnsi="Times New Roman" w:cs="Times New Roman"/>
          <w:sz w:val="24"/>
          <w:szCs w:val="24"/>
        </w:rPr>
        <w:t xml:space="preserve">.  This is very important as </w:t>
      </w:r>
      <w:r w:rsidR="00D2744F" w:rsidRPr="0039527E">
        <w:rPr>
          <w:rFonts w:ascii="Times New Roman" w:hAnsi="Times New Roman" w:cs="Times New Roman"/>
          <w:sz w:val="24"/>
          <w:szCs w:val="24"/>
        </w:rPr>
        <w:lastRenderedPageBreak/>
        <w:t>the world continues to experience this major problem which can be adequately addressed by behavioral economics.</w:t>
      </w: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D2744F" w:rsidP="00D2744F">
      <w:pPr>
        <w:spacing w:line="480" w:lineRule="auto"/>
        <w:rPr>
          <w:rFonts w:ascii="Times New Roman" w:hAnsi="Times New Roman" w:cs="Times New Roman"/>
          <w:b/>
          <w:sz w:val="24"/>
          <w:szCs w:val="24"/>
        </w:rPr>
      </w:pPr>
    </w:p>
    <w:p w:rsidR="00D2744F" w:rsidRPr="0039527E" w:rsidRDefault="00AD4582" w:rsidP="0039527E">
      <w:pPr>
        <w:spacing w:line="480" w:lineRule="auto"/>
        <w:jc w:val="center"/>
        <w:rPr>
          <w:rFonts w:ascii="Times New Roman" w:hAnsi="Times New Roman" w:cs="Times New Roman"/>
          <w:sz w:val="24"/>
          <w:szCs w:val="24"/>
        </w:rPr>
      </w:pPr>
      <w:r w:rsidRPr="0039527E">
        <w:rPr>
          <w:rFonts w:ascii="Times New Roman" w:hAnsi="Times New Roman" w:cs="Times New Roman"/>
          <w:sz w:val="24"/>
          <w:szCs w:val="24"/>
        </w:rPr>
        <w:lastRenderedPageBreak/>
        <w:t>References</w:t>
      </w:r>
    </w:p>
    <w:p w:rsidR="0039527E" w:rsidRPr="0039527E" w:rsidRDefault="00AD4582" w:rsidP="0039527E">
      <w:pPr>
        <w:pBdr>
          <w:bottom w:val="single" w:sz="6" w:space="1" w:color="auto"/>
        </w:pBdr>
        <w:spacing w:after="0" w:line="240" w:lineRule="auto"/>
        <w:jc w:val="center"/>
        <w:rPr>
          <w:rFonts w:ascii="Times New Roman" w:eastAsia="Times New Roman" w:hAnsi="Times New Roman" w:cs="Times New Roman"/>
          <w:vanish/>
          <w:sz w:val="24"/>
          <w:szCs w:val="24"/>
        </w:rPr>
      </w:pPr>
      <w:r w:rsidRPr="0039527E">
        <w:rPr>
          <w:rFonts w:ascii="Times New Roman" w:eastAsia="Times New Roman" w:hAnsi="Times New Roman" w:cs="Times New Roman"/>
          <w:vanish/>
          <w:sz w:val="24"/>
          <w:szCs w:val="24"/>
        </w:rPr>
        <w:t>Top of Form</w:t>
      </w:r>
    </w:p>
    <w:p w:rsidR="0039527E" w:rsidRPr="0039527E" w:rsidRDefault="00AD4582" w:rsidP="0039527E">
      <w:pPr>
        <w:shd w:val="clear" w:color="auto" w:fill="FFFFFF"/>
        <w:spacing w:after="0" w:line="288" w:lineRule="atLeast"/>
        <w:rPr>
          <w:rFonts w:ascii="Times New Roman" w:eastAsia="Arial Unicode MS" w:hAnsi="Times New Roman" w:cs="Times New Roman"/>
          <w:color w:val="000000"/>
          <w:sz w:val="24"/>
          <w:szCs w:val="24"/>
        </w:rPr>
      </w:pPr>
      <w:r w:rsidRPr="0039527E">
        <w:rPr>
          <w:rFonts w:ascii="Times New Roman" w:eastAsia="Arial Unicode MS" w:hAnsi="Times New Roman" w:cs="Times New Roman"/>
          <w:color w:val="000000"/>
          <w:sz w:val="24"/>
          <w:szCs w:val="24"/>
        </w:rPr>
        <w:t>Dasgupta, P. (2006). </w:t>
      </w:r>
      <w:r w:rsidRPr="0039527E">
        <w:rPr>
          <w:rFonts w:ascii="Times New Roman" w:eastAsia="Arial Unicode MS" w:hAnsi="Times New Roman" w:cs="Times New Roman"/>
          <w:i/>
          <w:iCs/>
          <w:color w:val="000000"/>
          <w:sz w:val="24"/>
          <w:szCs w:val="24"/>
        </w:rPr>
        <w:t>Economics: A very short introduction</w:t>
      </w:r>
      <w:r w:rsidRPr="0039527E">
        <w:rPr>
          <w:rFonts w:ascii="Times New Roman" w:eastAsia="Arial Unicode MS" w:hAnsi="Times New Roman" w:cs="Times New Roman"/>
          <w:color w:val="000000"/>
          <w:sz w:val="24"/>
          <w:szCs w:val="24"/>
        </w:rPr>
        <w:t>. Oxford: Oxford University Press.</w:t>
      </w:r>
    </w:p>
    <w:p w:rsidR="0039527E" w:rsidRPr="0039527E" w:rsidRDefault="00AD4582" w:rsidP="0039527E">
      <w:pPr>
        <w:pBdr>
          <w:top w:val="single" w:sz="6" w:space="1" w:color="auto"/>
        </w:pBdr>
        <w:spacing w:after="0" w:line="240" w:lineRule="auto"/>
        <w:jc w:val="center"/>
        <w:rPr>
          <w:rFonts w:ascii="Times New Roman" w:eastAsia="Times New Roman" w:hAnsi="Times New Roman" w:cs="Times New Roman"/>
          <w:vanish/>
          <w:sz w:val="24"/>
          <w:szCs w:val="24"/>
        </w:rPr>
      </w:pPr>
      <w:r w:rsidRPr="0039527E">
        <w:rPr>
          <w:rFonts w:ascii="Times New Roman" w:eastAsia="Times New Roman" w:hAnsi="Times New Roman" w:cs="Times New Roman"/>
          <w:vanish/>
          <w:sz w:val="24"/>
          <w:szCs w:val="24"/>
        </w:rPr>
        <w:t>Bottom of Form</w:t>
      </w:r>
    </w:p>
    <w:p w:rsidR="00D2744F" w:rsidRPr="0039527E" w:rsidRDefault="00D2744F" w:rsidP="00D2744F">
      <w:pPr>
        <w:spacing w:line="480" w:lineRule="auto"/>
        <w:rPr>
          <w:rFonts w:ascii="Times New Roman" w:hAnsi="Times New Roman" w:cs="Times New Roman"/>
          <w:b/>
          <w:sz w:val="24"/>
          <w:szCs w:val="24"/>
        </w:rPr>
      </w:pPr>
    </w:p>
    <w:sectPr w:rsidR="00D2744F" w:rsidRPr="0039527E" w:rsidSect="007E5A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67890"/>
    <w:multiLevelType w:val="hybridMultilevel"/>
    <w:tmpl w:val="4BA8F2D4"/>
    <w:lvl w:ilvl="0" w:tplc="F716A6EE">
      <w:start w:val="1"/>
      <w:numFmt w:val="decimal"/>
      <w:lvlText w:val="%1."/>
      <w:lvlJc w:val="left"/>
      <w:pPr>
        <w:ind w:left="720" w:hanging="360"/>
      </w:pPr>
      <w:rPr>
        <w:rFonts w:hint="default"/>
      </w:rPr>
    </w:lvl>
    <w:lvl w:ilvl="1" w:tplc="8BBAC858" w:tentative="1">
      <w:start w:val="1"/>
      <w:numFmt w:val="lowerLetter"/>
      <w:lvlText w:val="%2."/>
      <w:lvlJc w:val="left"/>
      <w:pPr>
        <w:ind w:left="1440" w:hanging="360"/>
      </w:pPr>
    </w:lvl>
    <w:lvl w:ilvl="2" w:tplc="90F6C7FC" w:tentative="1">
      <w:start w:val="1"/>
      <w:numFmt w:val="lowerRoman"/>
      <w:lvlText w:val="%3."/>
      <w:lvlJc w:val="right"/>
      <w:pPr>
        <w:ind w:left="2160" w:hanging="180"/>
      </w:pPr>
    </w:lvl>
    <w:lvl w:ilvl="3" w:tplc="B9B86D10" w:tentative="1">
      <w:start w:val="1"/>
      <w:numFmt w:val="decimal"/>
      <w:lvlText w:val="%4."/>
      <w:lvlJc w:val="left"/>
      <w:pPr>
        <w:ind w:left="2880" w:hanging="360"/>
      </w:pPr>
    </w:lvl>
    <w:lvl w:ilvl="4" w:tplc="9A6E0D60" w:tentative="1">
      <w:start w:val="1"/>
      <w:numFmt w:val="lowerLetter"/>
      <w:lvlText w:val="%5."/>
      <w:lvlJc w:val="left"/>
      <w:pPr>
        <w:ind w:left="3600" w:hanging="360"/>
      </w:pPr>
    </w:lvl>
    <w:lvl w:ilvl="5" w:tplc="84A88B5E" w:tentative="1">
      <w:start w:val="1"/>
      <w:numFmt w:val="lowerRoman"/>
      <w:lvlText w:val="%6."/>
      <w:lvlJc w:val="right"/>
      <w:pPr>
        <w:ind w:left="4320" w:hanging="180"/>
      </w:pPr>
    </w:lvl>
    <w:lvl w:ilvl="6" w:tplc="FD94DADC" w:tentative="1">
      <w:start w:val="1"/>
      <w:numFmt w:val="decimal"/>
      <w:lvlText w:val="%7."/>
      <w:lvlJc w:val="left"/>
      <w:pPr>
        <w:ind w:left="5040" w:hanging="360"/>
      </w:pPr>
    </w:lvl>
    <w:lvl w:ilvl="7" w:tplc="B11864AE" w:tentative="1">
      <w:start w:val="1"/>
      <w:numFmt w:val="lowerLetter"/>
      <w:lvlText w:val="%8."/>
      <w:lvlJc w:val="left"/>
      <w:pPr>
        <w:ind w:left="5760" w:hanging="360"/>
      </w:pPr>
    </w:lvl>
    <w:lvl w:ilvl="8" w:tplc="02A2466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2B91"/>
    <w:rsid w:val="00393331"/>
    <w:rsid w:val="0039527E"/>
    <w:rsid w:val="003E7AB0"/>
    <w:rsid w:val="00400E77"/>
    <w:rsid w:val="00431593"/>
    <w:rsid w:val="005C560A"/>
    <w:rsid w:val="007E5AFE"/>
    <w:rsid w:val="00884C70"/>
    <w:rsid w:val="00896EF4"/>
    <w:rsid w:val="009B1092"/>
    <w:rsid w:val="00A256C5"/>
    <w:rsid w:val="00AD4582"/>
    <w:rsid w:val="00D2744F"/>
    <w:rsid w:val="00EA2B91"/>
    <w:rsid w:val="00EE28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A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B91"/>
    <w:pPr>
      <w:ind w:left="720"/>
      <w:contextualSpacing/>
    </w:pPr>
  </w:style>
  <w:style w:type="paragraph" w:styleId="z-TopofForm">
    <w:name w:val="HTML Top of Form"/>
    <w:basedOn w:val="Normal"/>
    <w:next w:val="Normal"/>
    <w:link w:val="z-TopofFormChar"/>
    <w:hidden/>
    <w:uiPriority w:val="99"/>
    <w:semiHidden/>
    <w:unhideWhenUsed/>
    <w:rsid w:val="003952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9527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952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9527E"/>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2020-04-24T19:54:00Z</dcterms:created>
  <dcterms:modified xsi:type="dcterms:W3CDTF">2020-04-24T19:54:00Z</dcterms:modified>
</cp:coreProperties>
</file>